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Договор денежного займа</w:t>
      </w:r>
    </w:p>
    <w:p>
      <w:pPr>
        <w:pStyle w:val="Subtitle"/>
      </w:pPr>
      <w:r>
        <w:t>Редактируемый шаблон между гражданами</w:t>
      </w:r>
    </w:p>
    <w:p>
      <w:r>
        <w:rPr>
          <w:b w:val="0"/>
        </w:rPr>
      </w:r>
      <w:r>
        <w:rPr>
          <w:b/>
        </w:rPr>
        <w:t>Как заполнить шаблон</w:t>
      </w:r>
      <w:r>
        <w:rPr>
          <w:b w:val="0"/>
        </w:rPr>
        <w:t xml:space="preserve"> Для разового рублёвого займа между совершеннолетними гражданами, в том числе ИП, без залога и профессионального кредитования. Выберите беспроцентный или процентный вариант, оставьте один способ возврата, замените скобки и удалите этот абзац. Для компании, систематического кредитования и инвестиционного участия нужен отдельный текст.</w:t>
      </w:r>
    </w:p>
    <w:p>
      <w:r>
        <w:rPr>
          <w:b w:val="0"/>
        </w:rPr>
        <w:t>Договор № [номер]. Место [город]. Дата [число месяц год].</w:t>
      </w:r>
    </w:p>
    <w:p>
      <w:r>
        <w:rPr>
          <w:b w:val="0"/>
        </w:rPr>
        <w:t>[ФИО], далее «Займодавец», и [ФИО], далее «Заёмщик», согласовали условия. Реквизиты и подписи — в разделе 9.</w:t>
      </w:r>
    </w:p>
    <w:p>
      <w:pPr>
        <w:pStyle w:val="Heading1"/>
      </w:pPr>
      <w:r>
        <w:t>1 Сумма и момент заключения</w:t>
      </w:r>
    </w:p>
    <w:p>
      <w:r>
        <w:rPr>
          <w:b w:val="0"/>
        </w:rPr>
        <w:t>1.1. Займодавец передаёт Заёмщику денежные средства в размере [сумма цифрами] ([сумма прописью]) рублей. Заёмщик обязуется возвратить полученную сумму и, при выборе процентного варианта, уплатить согласованные проценты.</w:t>
      </w:r>
    </w:p>
    <w:p>
      <w:r>
        <w:rPr>
          <w:b w:val="0"/>
        </w:rPr>
        <w:t>1.2. Поскольку Займодавец является гражданином, договор считается заключённым с момента фактической передачи денег в соответствии со статьёй 807 ГК РФ. Подписи под текстом не подтверждают передачу, если она ещё не состоялась.</w:t>
      </w:r>
    </w:p>
    <w:p>
      <w:r>
        <w:rPr>
          <w:b w:val="0"/>
        </w:rPr>
        <w:t>1.3. Частичная передача [допускается в пределах фактически переданной суммы / не предусмотрена]. Для каждой передачи сохраняется отдельное подтверждение. Размер обязательства по возврату определяется реально полученными суммами и условиями договора.</w:t>
      </w:r>
    </w:p>
    <w:p>
      <w:pPr>
        <w:pStyle w:val="Heading1"/>
      </w:pPr>
      <w:r>
        <w:t>2 Передача денег</w:t>
      </w:r>
    </w:p>
    <w:p>
      <w:r>
        <w:rPr>
          <w:b w:val="0"/>
        </w:rPr>
        <w:t>2.1. Способ [банковским переводом на счёт Заёмщика / наличными Заёмщику]. Планируемая дата [дата]. При банковском переводе назначение: «Заём по договору № [номер] от [дата]». Момент передачи по переводу — зачисление на согласованный счёт.</w:t>
      </w:r>
    </w:p>
    <w:p>
      <w:r>
        <w:rPr>
          <w:b w:val="0"/>
        </w:rPr>
        <w:t>2.2. Банковский документ и подтверждение зачисления сохраняются. При наличной передаче Заёмщик после получения подписывает подтверждение с суммой, датой и ссылкой на договор. Форма приведена в приложении 1.</w:t>
      </w:r>
    </w:p>
    <w:p>
      <w:r>
        <w:rPr>
          <w:b w:val="0"/>
        </w:rPr>
        <w:t>2.3. Передача третьему лицу возможна только по отдельному письменному указанию Заёмщика с однозначными реквизитами, основанием и подтверждением исполнения. Этот шаблон по умолчанию предусматривает получение самим Заёмщиком.</w:t>
      </w:r>
    </w:p>
    <w:p>
      <w:pPr>
        <w:pStyle w:val="Heading1"/>
      </w:pPr>
      <w:r>
        <w:t>3 Проценты за пользование</w:t>
      </w:r>
    </w:p>
    <w:p>
      <w:r>
        <w:rPr>
          <w:b w:val="0"/>
        </w:rPr>
        <w:t>3.1. Выберите и оставьте только один вариант.</w:t>
      </w:r>
    </w:p>
    <w:p>
      <w:r>
        <w:rPr>
          <w:b w:val="0"/>
        </w:rPr>
      </w:r>
      <w:r>
        <w:rPr>
          <w:b/>
        </w:rPr>
        <w:t>Вариант А</w:t>
      </w:r>
      <w:r>
        <w:rPr>
          <w:b w:val="0"/>
        </w:rPr>
        <w:t xml:space="preserve"> Заём является беспроцентным. Проценты за пользование суммой займа не начисляются и не уплачиваются.</w:t>
      </w:r>
    </w:p>
    <w:p>
      <w:r>
        <w:rPr>
          <w:b w:val="0"/>
        </w:rPr>
      </w:r>
      <w:r>
        <w:rPr>
          <w:b/>
        </w:rPr>
        <w:t>Вариант Б</w:t>
      </w:r>
      <w:r>
        <w:rPr>
          <w:b w:val="0"/>
        </w:rPr>
        <w:t xml:space="preserve"> Заём является процентным. Ставка составляет [число] процентов годовых. Проценты начисляются на фактический непогашенный основной долг со дня, следующего за получением соответствующей суммы, по день её возврата включительно.</w:t>
      </w:r>
    </w:p>
    <w:p>
      <w:r>
        <w:rPr>
          <w:b w:val="0"/>
        </w:rPr>
        <w:t>3.2. Для варианта Б проценты за период рассчитываются как непогашенный долг × годовая ставка / 100 × число дней / число календарных дней в соответствующем году. При изменении остатка долга или переходе между годами расчёт разделяется на соответствующие отрезки. Сложные проценты и автоматическая капитализация не предусмотрены.</w:t>
      </w:r>
    </w:p>
    <w:p>
      <w:r>
        <w:rPr>
          <w:b w:val="0"/>
        </w:rPr>
        <w:t>3.3. Срок уплаты процентов при варианте Б [ежемесячно до конкретной даты / одновременно с возвратом основного долга]. Неиспользуемый вариант удаляется. Размер процентов за весь срок не заменяет расчёт по фактическим датам.</w:t>
      </w:r>
    </w:p>
    <w:p>
      <w:pPr>
        <w:pStyle w:val="Heading1"/>
      </w:pPr>
      <w:r>
        <w:t>4 Срок и порядок возврата</w:t>
      </w:r>
    </w:p>
    <w:p>
      <w:r>
        <w:rPr>
          <w:b w:val="0"/>
        </w:rPr>
        <w:t>4.1. Выбранный порядок [одной суммой не позднее даты … / частями по графику ниже]. График при возврате частями заполняется; при возврате одной суммой таблица удаляется.</w:t>
      </w:r>
    </w:p>
    <w:tbl>
      <w:tblPr>
        <w:tblW w:type="auto" w:w="0"/>
        <w:jc w:val="center"/>
        <w:tblLayout w:type="fixed"/>
        <w:tblLook w:firstColumn="1" w:firstRow="1" w:lastColumn="0" w:lastRow="0" w:noHBand="0" w:noVBand="1" w:val="04A0"/>
      </w:tblPr>
      <w:tblGrid>
        <w:gridCol w:w="3816"/>
        <w:gridCol w:w="3060"/>
        <w:gridCol w:w="3060"/>
      </w:tblGrid>
      <w:tr>
        <w:trPr>
          <w:tblHeader/>
          <w:cantSplit/>
        </w:trPr>
        <w:tc>
          <w:tcPr>
            <w:tcW w:type="dxa" w:w="3816"/>
            <w:vAlign w:val="center"/>
            <w:tcMar>
              <w:top w:w="95" w:type="dxa"/>
              <w:bottom w:w="95" w:type="dxa"/>
              <w:left w:w="110" w:type="dxa"/>
              <w:right w:w="110" w:type="dxa"/>
            </w:tcMar>
            <w:tcBorders>
              <w:top w:val="single" w:sz="4" w:color="D9D9D9"/>
              <w:left w:val="single" w:sz="4" w:color="D9D9D9"/>
              <w:bottom w:val="single" w:sz="4" w:color="D9D9D9"/>
              <w:right w:val="single" w:sz="4" w:color="D9D9D9"/>
            </w:tcBorders>
            <w:shd w:fill="DFE7EF"/>
          </w:tcPr>
          <w:p>
            <w:pPr>
              <w:spacing w:after="0" w:line="259" w:lineRule="auto"/>
            </w:pPr>
            <w:r>
              <w:rPr>
                <w:b/>
                <w:sz w:val="19"/>
              </w:rPr>
              <w:t>Дата платежа</w:t>
            </w:r>
          </w:p>
        </w:tc>
        <w:tc>
          <w:tcPr>
            <w:tcW w:type="dxa" w:w="3060"/>
            <w:vAlign w:val="center"/>
            <w:tcMar>
              <w:top w:w="95" w:type="dxa"/>
              <w:bottom w:w="95" w:type="dxa"/>
              <w:left w:w="110" w:type="dxa"/>
              <w:right w:w="110" w:type="dxa"/>
            </w:tcMar>
            <w:tcBorders>
              <w:top w:val="single" w:sz="4" w:color="D9D9D9"/>
              <w:left w:val="single" w:sz="4" w:color="D9D9D9"/>
              <w:bottom w:val="single" w:sz="4" w:color="D9D9D9"/>
              <w:right w:val="single" w:sz="4" w:color="D9D9D9"/>
            </w:tcBorders>
            <w:shd w:fill="DFE7EF"/>
          </w:tcPr>
          <w:p>
            <w:pPr>
              <w:spacing w:after="0" w:line="259" w:lineRule="auto"/>
            </w:pPr>
            <w:r>
              <w:rPr>
                <w:b/>
                <w:sz w:val="19"/>
              </w:rPr>
              <w:t>Основной долг</w:t>
            </w:r>
          </w:p>
        </w:tc>
        <w:tc>
          <w:tcPr>
            <w:tcW w:type="dxa" w:w="3060"/>
            <w:vAlign w:val="center"/>
            <w:tcMar>
              <w:top w:w="95" w:type="dxa"/>
              <w:bottom w:w="95" w:type="dxa"/>
              <w:left w:w="110" w:type="dxa"/>
              <w:right w:w="110" w:type="dxa"/>
            </w:tcMar>
            <w:tcBorders>
              <w:top w:val="single" w:sz="4" w:color="D9D9D9"/>
              <w:left w:val="single" w:sz="4" w:color="D9D9D9"/>
              <w:bottom w:val="single" w:sz="4" w:color="D9D9D9"/>
              <w:right w:val="single" w:sz="4" w:color="D9D9D9"/>
            </w:tcBorders>
            <w:shd w:fill="DFE7EF"/>
          </w:tcPr>
          <w:p>
            <w:pPr>
              <w:spacing w:after="0" w:line="259" w:lineRule="auto"/>
            </w:pPr>
            <w:r>
              <w:rPr>
                <w:b/>
                <w:sz w:val="19"/>
              </w:rPr>
              <w:t>Проценты при варианте Б</w:t>
            </w:r>
          </w:p>
        </w:tc>
      </w:tr>
      <w:tr>
        <w:trPr>
          <w:cantSplit/>
        </w:trPr>
        <w:tc>
          <w:tcPr>
            <w:tcW w:type="dxa" w:w="3816"/>
            <w:vAlign w:val="center"/>
            <w:tcMar>
              <w:top w:w="95" w:type="dxa"/>
              <w:bottom w:w="95" w:type="dxa"/>
              <w:left w:w="110" w:type="dxa"/>
              <w:right w:w="110" w:type="dxa"/>
            </w:tcMar>
            <w:tcBorders>
              <w:top w:val="single" w:sz="4" w:color="D9D9D9"/>
              <w:left w:val="single" w:sz="4" w:color="D9D9D9"/>
              <w:bottom w:val="single" w:sz="4" w:color="D9D9D9"/>
              <w:right w:val="single" w:sz="4" w:color="D9D9D9"/>
            </w:tcBorders>
            <w:shd w:fill="FFFFFF"/>
          </w:tcPr>
          <w:p>
            <w:pPr>
              <w:spacing w:after="0" w:line="259" w:lineRule="auto"/>
            </w:pPr>
            <w:r>
              <w:rPr>
                <w:b w:val="0"/>
                <w:sz w:val="19"/>
              </w:rPr>
              <w:t>[дата]</w:t>
            </w:r>
          </w:p>
        </w:tc>
        <w:tc>
          <w:tcPr>
            <w:tcW w:type="dxa" w:w="3060"/>
            <w:vAlign w:val="center"/>
            <w:tcMar>
              <w:top w:w="95" w:type="dxa"/>
              <w:bottom w:w="95" w:type="dxa"/>
              <w:left w:w="110" w:type="dxa"/>
              <w:right w:w="110" w:type="dxa"/>
            </w:tcMar>
            <w:tcBorders>
              <w:top w:val="single" w:sz="4" w:color="D9D9D9"/>
              <w:left w:val="single" w:sz="4" w:color="D9D9D9"/>
              <w:bottom w:val="single" w:sz="4" w:color="D9D9D9"/>
              <w:right w:val="single" w:sz="4" w:color="D9D9D9"/>
            </w:tcBorders>
            <w:shd w:fill="FFFFFF"/>
          </w:tcPr>
          <w:p>
            <w:pPr>
              <w:spacing w:after="0" w:line="259" w:lineRule="auto"/>
              <w:jc w:val="center"/>
            </w:pPr>
            <w:r>
              <w:rPr>
                <w:b w:val="0"/>
                <w:sz w:val="19"/>
              </w:rPr>
              <w:t>[сумма] ₽</w:t>
            </w:r>
          </w:p>
        </w:tc>
        <w:tc>
          <w:tcPr>
            <w:tcW w:type="dxa" w:w="3060"/>
            <w:vAlign w:val="center"/>
            <w:tcMar>
              <w:top w:w="95" w:type="dxa"/>
              <w:bottom w:w="95" w:type="dxa"/>
              <w:left w:w="110" w:type="dxa"/>
              <w:right w:w="110" w:type="dxa"/>
            </w:tcMar>
            <w:tcBorders>
              <w:top w:val="single" w:sz="4" w:color="D9D9D9"/>
              <w:left w:val="single" w:sz="4" w:color="D9D9D9"/>
              <w:bottom w:val="single" w:sz="4" w:color="D9D9D9"/>
              <w:right w:val="single" w:sz="4" w:color="D9D9D9"/>
            </w:tcBorders>
            <w:shd w:fill="FFFFFF"/>
          </w:tcPr>
          <w:p>
            <w:pPr>
              <w:spacing w:after="0" w:line="259" w:lineRule="auto"/>
              <w:jc w:val="center"/>
            </w:pPr>
            <w:r>
              <w:rPr>
                <w:b w:val="0"/>
                <w:sz w:val="19"/>
              </w:rPr>
              <w:t>[расчёт по фактическому остатку]</w:t>
            </w:r>
          </w:p>
        </w:tc>
      </w:tr>
      <w:tr>
        <w:trPr>
          <w:cantSplit/>
        </w:trPr>
        <w:tc>
          <w:tcPr>
            <w:tcW w:type="dxa" w:w="3816"/>
            <w:vAlign w:val="center"/>
            <w:tcMar>
              <w:top w:w="95" w:type="dxa"/>
              <w:bottom w:w="95" w:type="dxa"/>
              <w:left w:w="110" w:type="dxa"/>
              <w:right w:w="110" w:type="dxa"/>
            </w:tcMar>
            <w:tcBorders>
              <w:top w:val="single" w:sz="4" w:color="D9D9D9"/>
              <w:left w:val="single" w:sz="4" w:color="D9D9D9"/>
              <w:bottom w:val="single" w:sz="4" w:color="D9D9D9"/>
              <w:right w:val="single" w:sz="4" w:color="D9D9D9"/>
            </w:tcBorders>
            <w:shd w:fill="FFFFFF"/>
          </w:tcPr>
          <w:p>
            <w:pPr>
              <w:spacing w:after="0" w:line="259" w:lineRule="auto"/>
            </w:pPr>
            <w:r>
              <w:rPr>
                <w:b w:val="0"/>
                <w:sz w:val="19"/>
              </w:rPr>
              <w:t>[дата]</w:t>
            </w:r>
          </w:p>
        </w:tc>
        <w:tc>
          <w:tcPr>
            <w:tcW w:type="dxa" w:w="3060"/>
            <w:vAlign w:val="center"/>
            <w:tcMar>
              <w:top w:w="95" w:type="dxa"/>
              <w:bottom w:w="95" w:type="dxa"/>
              <w:left w:w="110" w:type="dxa"/>
              <w:right w:w="110" w:type="dxa"/>
            </w:tcMar>
            <w:tcBorders>
              <w:top w:val="single" w:sz="4" w:color="D9D9D9"/>
              <w:left w:val="single" w:sz="4" w:color="D9D9D9"/>
              <w:bottom w:val="single" w:sz="4" w:color="D9D9D9"/>
              <w:right w:val="single" w:sz="4" w:color="D9D9D9"/>
            </w:tcBorders>
            <w:shd w:fill="FFFFFF"/>
          </w:tcPr>
          <w:p>
            <w:pPr>
              <w:spacing w:after="0" w:line="259" w:lineRule="auto"/>
              <w:jc w:val="center"/>
            </w:pPr>
            <w:r>
              <w:rPr>
                <w:b w:val="0"/>
                <w:sz w:val="19"/>
              </w:rPr>
              <w:t>[сумма] ₽</w:t>
            </w:r>
          </w:p>
        </w:tc>
        <w:tc>
          <w:tcPr>
            <w:tcW w:type="dxa" w:w="3060"/>
            <w:vAlign w:val="center"/>
            <w:tcMar>
              <w:top w:w="95" w:type="dxa"/>
              <w:bottom w:w="95" w:type="dxa"/>
              <w:left w:w="110" w:type="dxa"/>
              <w:right w:w="110" w:type="dxa"/>
            </w:tcMar>
            <w:tcBorders>
              <w:top w:val="single" w:sz="4" w:color="D9D9D9"/>
              <w:left w:val="single" w:sz="4" w:color="D9D9D9"/>
              <w:bottom w:val="single" w:sz="4" w:color="D9D9D9"/>
              <w:right w:val="single" w:sz="4" w:color="D9D9D9"/>
            </w:tcBorders>
            <w:shd w:fill="FFFFFF"/>
          </w:tcPr>
          <w:p>
            <w:pPr>
              <w:spacing w:after="0" w:line="259" w:lineRule="auto"/>
              <w:jc w:val="center"/>
            </w:pPr>
            <w:r>
              <w:rPr>
                <w:b w:val="0"/>
                <w:sz w:val="19"/>
              </w:rPr>
              <w:t>[расчёт]</w:t>
            </w:r>
          </w:p>
        </w:tc>
      </w:tr>
      <w:tr>
        <w:trPr>
          <w:cantSplit/>
        </w:trPr>
        <w:tc>
          <w:tcPr>
            <w:tcW w:type="dxa" w:w="3816"/>
            <w:vAlign w:val="center"/>
            <w:tcMar>
              <w:top w:w="95" w:type="dxa"/>
              <w:bottom w:w="95" w:type="dxa"/>
              <w:left w:w="110" w:type="dxa"/>
              <w:right w:w="110" w:type="dxa"/>
            </w:tcMar>
            <w:tcBorders>
              <w:top w:val="single" w:sz="4" w:color="D9D9D9"/>
              <w:left w:val="single" w:sz="4" w:color="D9D9D9"/>
              <w:bottom w:val="single" w:sz="4" w:color="D9D9D9"/>
              <w:right w:val="single" w:sz="4" w:color="D9D9D9"/>
            </w:tcBorders>
            <w:shd w:fill="FFFFFF"/>
          </w:tcPr>
          <w:p>
            <w:pPr>
              <w:spacing w:after="0" w:line="259" w:lineRule="auto"/>
            </w:pPr>
            <w:r>
              <w:rPr>
                <w:b w:val="0"/>
                <w:sz w:val="19"/>
              </w:rPr>
              <w:t>[окончательная дата]</w:t>
            </w:r>
          </w:p>
        </w:tc>
        <w:tc>
          <w:tcPr>
            <w:tcW w:type="dxa" w:w="3060"/>
            <w:vAlign w:val="center"/>
            <w:tcMar>
              <w:top w:w="95" w:type="dxa"/>
              <w:bottom w:w="95" w:type="dxa"/>
              <w:left w:w="110" w:type="dxa"/>
              <w:right w:w="110" w:type="dxa"/>
            </w:tcMar>
            <w:tcBorders>
              <w:top w:val="single" w:sz="4" w:color="D9D9D9"/>
              <w:left w:val="single" w:sz="4" w:color="D9D9D9"/>
              <w:bottom w:val="single" w:sz="4" w:color="D9D9D9"/>
              <w:right w:val="single" w:sz="4" w:color="D9D9D9"/>
            </w:tcBorders>
            <w:shd w:fill="FFFFFF"/>
          </w:tcPr>
          <w:p>
            <w:pPr>
              <w:spacing w:after="0" w:line="259" w:lineRule="auto"/>
              <w:jc w:val="center"/>
            </w:pPr>
            <w:r>
              <w:rPr>
                <w:b w:val="0"/>
                <w:sz w:val="19"/>
              </w:rPr>
              <w:t>[оставшийся основной долг] ₽</w:t>
            </w:r>
          </w:p>
        </w:tc>
        <w:tc>
          <w:tcPr>
            <w:tcW w:type="dxa" w:w="3060"/>
            <w:vAlign w:val="center"/>
            <w:tcMar>
              <w:top w:w="95" w:type="dxa"/>
              <w:bottom w:w="95" w:type="dxa"/>
              <w:left w:w="110" w:type="dxa"/>
              <w:right w:w="110" w:type="dxa"/>
            </w:tcMar>
            <w:tcBorders>
              <w:top w:val="single" w:sz="4" w:color="D9D9D9"/>
              <w:left w:val="single" w:sz="4" w:color="D9D9D9"/>
              <w:bottom w:val="single" w:sz="4" w:color="D9D9D9"/>
              <w:right w:val="single" w:sz="4" w:color="D9D9D9"/>
            </w:tcBorders>
            <w:shd w:fill="FFFFFF"/>
          </w:tcPr>
          <w:p>
            <w:pPr>
              <w:spacing w:after="0" w:line="259" w:lineRule="auto"/>
              <w:jc w:val="center"/>
            </w:pPr>
            <w:r>
              <w:rPr>
                <w:b w:val="0"/>
                <w:sz w:val="19"/>
              </w:rPr>
              <w:t>[расчёт]</w:t>
            </w:r>
          </w:p>
        </w:tc>
      </w:tr>
    </w:tbl>
    <w:p>
      <w:pPr>
        <w:spacing w:after="0"/>
      </w:pPr>
    </w:p>
    <w:p>
      <w:r>
        <w:rPr>
          <w:b w:val="0"/>
        </w:rPr>
        <w:t>4.2. Возврат осуществляется на счёт Займодавца, указанный в реквизитах, либо наличными с подтверждением Займодавца. Момент исполнения при переводе — зачисление денег на согласованный счёт; при наличных — фактическое получение. Назначение перевода указывает возврат займа и номер договора, отдельно уточняя проценты при их оплате.</w:t>
      </w:r>
    </w:p>
    <w:p>
      <w:r>
        <w:rPr>
          <w:b w:val="0"/>
        </w:rPr>
        <w:t>4.3. Досрочный возврат допускается без дополнительной платы с уведомлением Займодавца по согласованному контакту не позднее дня перечисления. При процентном варианте уплачиваются проценты по день фактического возврата включительно. После частичного возврата проценты начисляются на уменьшенный остаток.</w:t>
      </w:r>
    </w:p>
    <w:p>
      <w:r>
        <w:rPr>
          <w:b w:val="0"/>
        </w:rPr>
        <w:t>4.4. При недостаточности платежа применяются согласованный допустимый порядок и статья 319 ГК РФ; сторонам следует отдельно обозначать основной долг и проценты в подтверждениях. Договорная неустойка отсутствует и не вычитается автоматически из каждого платежа.</w:t>
      </w:r>
    </w:p>
    <w:p>
      <w:pPr>
        <w:pStyle w:val="Heading1"/>
      </w:pPr>
      <w:r>
        <w:t>5 Подтверждения и сверка</w:t>
      </w:r>
    </w:p>
    <w:p>
      <w:r>
        <w:rPr>
          <w:b w:val="0"/>
        </w:rPr>
        <w:t>5.1. Займодавец подтверждает получение наличных платежей, а при полном исполнении выдаёт подтверждение отсутствия остатка основного долга и процентов за пользование либо возвращает долговой документ с отметкой о погашении по применимым правилам.</w:t>
      </w:r>
    </w:p>
    <w:p>
      <w:r>
        <w:rPr>
          <w:b w:val="0"/>
        </w:rPr>
        <w:t>5.2. Стороны ведут запись фактических передач и возвратов. При расхождениях сверяют банковские документы и расписки. Отсутствие у Заёмщика денег не освобождает автоматически от обязательства возврата.</w:t>
      </w:r>
    </w:p>
    <w:p>
      <w:r>
        <w:rPr>
          <w:b w:val="0"/>
        </w:rPr>
        <w:t>5.3. Расписка или подтверждение подписываются только после фактического получения указанной суммы. Электронное подтверждение оформляется допустимым способом раздела 7, а не только вставкой изображения подписи.</w:t>
      </w:r>
    </w:p>
    <w:p>
      <w:pPr>
        <w:pStyle w:val="Heading1"/>
      </w:pPr>
      <w:r>
        <w:t>6 Просрочка и ответственность</w:t>
      </w:r>
    </w:p>
    <w:p>
      <w:r>
        <w:rPr>
          <w:b w:val="0"/>
        </w:rPr>
        <w:t>6.1. За просрочку возврата и иные нарушения применяются предусмотренные законом последствия, в том числе статья 811 ГК РФ и применимые правила процентов по статье 395. Беспроцентность пользования займом не означает автоматического освобождения от ответственности за просрочку.</w:t>
      </w:r>
    </w:p>
    <w:p>
      <w:r>
        <w:rPr>
          <w:b w:val="0"/>
        </w:rPr>
        <w:t>6.2. Дополнительная договорная неустойка не устанавливается. Требования о досрочном возврате при нарушении графика и иные законные основания оцениваются по действующему законодательству и обстоятельствам.</w:t>
      </w:r>
    </w:p>
    <w:p>
      <w:r>
        <w:rPr>
          <w:b w:val="0"/>
        </w:rPr>
        <w:t>6.3. Обеспечение залогом, поручительством или иными специальными способами не предусмотрено. При необходимости оно оформляется отдельными надлежащими документами.</w:t>
      </w:r>
    </w:p>
    <w:p>
      <w:pPr>
        <w:pStyle w:val="Heading1"/>
      </w:pPr>
      <w:r>
        <w:t>7 Подписание и обмен документами</w:t>
      </w:r>
    </w:p>
    <w:p>
      <w:r>
        <w:rPr>
          <w:b w:val="0"/>
        </w:rPr>
        <w:t>7.1. Выбранный способ заключения и подписания: [бумажные экземпляры / электронный документ с УКЭП / ПЭП или УНЭП по отдельному согласованному соглашению]. Стороны удаляют невыбранные варианты до подписания. Подписание не заменяет нотариальное удостоверение и государственную регистрацию, если они требуются законом.</w:t>
      </w:r>
    </w:p>
    <w:p>
      <w:r>
        <w:rPr>
          <w:b w:val="0"/>
        </w:rPr>
        <w:t>7.2. При бумажном подписании составляются два экземпляра одинакового содержания, по одному каждой стороне. При УКЭП каждая сторона подписывает один и тот же неизменный электронный документ; сохраняются документ, подписи и результаты проверки. Визуальный штамп в PDF не заменяет файл электронной подписи.</w:t>
      </w:r>
    </w:p>
    <w:p>
      <w:r>
        <w:rPr>
          <w:b w:val="0"/>
        </w:rPr>
        <w:t>7.3. ПЭП или УНЭП используются только при наличии предусмотренного законом основания или соглашения сторон об электронном взаимодействии. Соглашение должно определять подписанта, конфиденциальность ключа ПЭП и, для УНЭП, порядок проверки. Применённая редакция правил [название, дата, идентификатор] сохраняется вместе с документом. Если такого основания нет, стороны используют бумагу либо допустимую УКЭП.</w:t>
      </w:r>
    </w:p>
    <w:p>
      <w:r>
        <w:rPr>
          <w:b w:val="0"/>
        </w:rPr>
        <w:t>7.4. Сервис электронного подписания, если выбран: [название и адрес]. Контакты сторон для согласованного обмена указаны в реквизитах. После первой подписи файл не изменяется; изменение условий оформляется новой подписанной редакцией либо дополнительным соглашением. Каждая сторона получает полный комплект для скачивания и хранения.</w:t>
      </w:r>
    </w:p>
    <w:p>
      <w:r>
        <w:rPr>
          <w:b w:val="0"/>
        </w:rPr>
        <w:t>7.5. Стороны сохраняют доступ к своим средствам подписания в тайне и при утрате контроля немедленно сообщают другой стороне по согласованным контактам. Код входа в аккаунт сам по себе не означает подпись под договором. Записи сервиса оцениваются вместе с иными доказательствами.</w:t>
      </w:r>
    </w:p>
    <w:p>
      <w:pPr>
        <w:pStyle w:val="Heading1"/>
      </w:pPr>
      <w:r>
        <w:t>8 Заключительные условия</w:t>
      </w:r>
    </w:p>
    <w:p>
      <w:r>
        <w:rPr>
          <w:b w:val="0"/>
        </w:rPr>
        <w:t>8.1. Применяется право Российской Федерации. Изменения оформляются письменным соглашением, кроме случаев, когда закон допускает иной порядок. Сообщения направляются по согласованным адресам с сохранением подтверждений доставки; последствия юридически значимых сообщений определяются статьёй 165.1 ГК РФ.</w:t>
      </w:r>
    </w:p>
    <w:p>
      <w:r>
        <w:rPr>
          <w:b w:val="0"/>
        </w:rPr>
        <w:t>8.2. При споре сторона направляет другой стороне описание требований и подтверждения. Стороны стремятся ответить в течение 10 календарных дней. Это не отменяет обязательный порядок и сроки по закону и не ограничивает право потребителя обратиться в суд. Подсудность определяется процессуальным законодательством.</w:t>
      </w:r>
    </w:p>
    <w:p>
      <w:r>
        <w:rPr>
          <w:b w:val="0"/>
        </w:rPr>
        <w:t>8.3. Договор не ограничивает обязательные гарантии закона, включая права потребителя, если они применимы к отношениям сторон. Логотип «ДОГОВОРИМСЯ» обозначает оформление шаблона; сервис не является стороной договора, поручителем или гарантом исполнения.</w:t>
      </w:r>
    </w:p>
    <w:p>
      <w:r>
        <w:rPr>
          <w:b w:val="0"/>
        </w:rPr>
        <w:t>8.4. Приложения к договору: [перечень согласованных приложений]. Формы подтверждений фактического исполнения заполняются и подписываются после соответствующих действий, а не заранее.</w:t>
      </w:r>
    </w:p>
    <w:p>
      <w:pPr>
        <w:pStyle w:val="Heading1"/>
      </w:pPr>
      <w:r>
        <w:t>9 Сведения о сторонах и подписи</w:t>
      </w:r>
    </w:p>
    <w:tbl>
      <w:tblPr>
        <w:tblW w:type="auto" w:w="0"/>
        <w:tblLayout w:type="fixed"/>
        <w:tblLook w:firstColumn="1" w:firstRow="1" w:lastColumn="0" w:lastRow="0" w:noHBand="0" w:noVBand="1" w:val="04A0"/>
        <w:tblBorders>
          <w:top w:val="single" w:sz="6" w:color="909090"/>
          <w:left w:val="single" w:sz="6" w:color="909090"/>
          <w:bottom w:val="single" w:sz="6" w:color="909090"/>
          <w:right w:val="single" w:sz="6" w:color="909090"/>
          <w:insideH w:val="single" w:sz="6" w:color="909090"/>
          <w:insideV w:val="single" w:sz="6" w:color="909090"/>
        </w:tblBorders>
        <w:tblCellMar>
          <w:top w:w="120" w:type="dxa"/>
          <w:left w:w="120" w:type="dxa"/>
          <w:bottom w:w="120" w:type="dxa"/>
          <w:right w:w="120" w:type="dxa"/>
        </w:tblCellMar>
      </w:tblPr>
      <w:tblGrid>
        <w:gridCol w:w="4968"/>
        <w:gridCol w:w="4968"/>
      </w:tblGrid>
      <w:tr>
        <w:trPr>
          <w:cantSplit/>
          <w:cantSplit/>
        </w:trPr>
        <w:tc>
          <w:tcPr>
            <w:tcW w:type="dxa" w:w="4968"/>
          </w:tcPr>
          <w:p>
            <w:pPr>
              <w:spacing w:after="60" w:before="0" w:line="240" w:lineRule="auto"/>
              <w:keepNext/>
            </w:pPr>
            <w:r>
              <w:rPr>
                <w:rFonts w:ascii="Arial" w:hAnsi="Arial"/>
                <w:b/>
                <w:sz w:val="21"/>
              </w:rPr>
              <w:t>Займодавец</w:t>
            </w:r>
          </w:p>
        </w:tc>
        <w:tc>
          <w:tcPr>
            <w:tcW w:type="dxa" w:w="4968"/>
          </w:tcPr>
          <w:p>
            <w:pPr>
              <w:spacing w:after="60" w:before="0" w:line="240" w:lineRule="auto"/>
              <w:keepNext/>
            </w:pPr>
            <w:r>
              <w:rPr>
                <w:rFonts w:ascii="Arial" w:hAnsi="Arial"/>
                <w:b/>
                <w:sz w:val="21"/>
              </w:rPr>
              <w:t>Заёмщик</w:t>
            </w:r>
          </w:p>
        </w:tc>
      </w:tr>
      <w:tr>
        <w:trPr>
          <w:cantSplit/>
          <w:cantSplit/>
        </w:trPr>
        <w:tc>
          <w:tcPr>
            <w:tcW w:type="dxa" w:w="4968"/>
          </w:tcPr>
          <w:p>
            <w:pPr>
              <w:spacing w:after="60" w:before="0" w:line="240" w:lineRule="auto"/>
              <w:keepNext/>
            </w:pPr>
            <w:r>
              <w:rPr>
                <w:rFonts w:ascii="Arial" w:hAnsi="Arial"/>
                <w:b w:val="0"/>
                <w:sz w:val="20"/>
              </w:rPr>
              <w:t>ФИО: [полностью]</w:t>
            </w:r>
          </w:p>
          <w:p>
            <w:pPr>
              <w:spacing w:after="60" w:before="0" w:line="240" w:lineRule="auto"/>
              <w:keepNext/>
            </w:pPr>
            <w:r>
              <w:rPr>
                <w:rFonts w:ascii="Arial" w:hAnsi="Arial"/>
                <w:b w:val="0"/>
                <w:sz w:val="20"/>
              </w:rPr>
              <w:t>Статус: [гражданин / ИП / плательщик НПД, если применимо]</w:t>
            </w:r>
          </w:p>
          <w:p>
            <w:pPr>
              <w:spacing w:after="60" w:before="0" w:line="240" w:lineRule="auto"/>
              <w:keepNext/>
            </w:pPr>
            <w:r>
              <w:rPr>
                <w:rFonts w:ascii="Arial" w:hAnsi="Arial"/>
                <w:b w:val="0"/>
                <w:sz w:val="20"/>
              </w:rPr>
              <w:t>Паспорт: [серия, номер]</w:t>
            </w:r>
          </w:p>
          <w:p>
            <w:pPr>
              <w:spacing w:after="60" w:before="0" w:line="240" w:lineRule="auto"/>
              <w:keepNext/>
            </w:pPr>
            <w:r>
              <w:rPr>
                <w:rFonts w:ascii="Arial" w:hAnsi="Arial"/>
                <w:b w:val="0"/>
                <w:sz w:val="20"/>
              </w:rPr>
              <w:t>Выдан: [орган и дата выдачи]</w:t>
            </w:r>
          </w:p>
          <w:p>
            <w:pPr>
              <w:spacing w:after="60" w:before="0" w:line="240" w:lineRule="auto"/>
              <w:keepNext/>
            </w:pPr>
            <w:r>
              <w:rPr>
                <w:rFonts w:ascii="Arial" w:hAnsi="Arial"/>
                <w:b w:val="0"/>
                <w:sz w:val="20"/>
              </w:rPr>
              <w:t>Адрес для юридически значимых сообщений: [адрес]</w:t>
            </w:r>
          </w:p>
          <w:p>
            <w:pPr>
              <w:spacing w:after="60" w:before="0" w:line="240" w:lineRule="auto"/>
              <w:keepNext/>
            </w:pPr>
            <w:r>
              <w:rPr>
                <w:rFonts w:ascii="Arial" w:hAnsi="Arial"/>
                <w:b w:val="0"/>
                <w:sz w:val="20"/>
              </w:rPr>
              <w:t>ИНН: [если применимо]</w:t>
            </w:r>
          </w:p>
          <w:p>
            <w:pPr>
              <w:spacing w:after="60" w:before="0" w:line="240" w:lineRule="auto"/>
              <w:keepNext/>
            </w:pPr>
            <w:r>
              <w:rPr>
                <w:rFonts w:ascii="Arial" w:hAnsi="Arial"/>
                <w:b w:val="0"/>
                <w:sz w:val="20"/>
              </w:rPr>
              <w:t>ОГРНИП: [если применимо]</w:t>
            </w:r>
          </w:p>
          <w:p>
            <w:pPr>
              <w:spacing w:after="60" w:before="0" w:line="240" w:lineRule="auto"/>
              <w:keepNext/>
            </w:pPr>
            <w:r>
              <w:rPr>
                <w:rFonts w:ascii="Arial" w:hAnsi="Arial"/>
                <w:b w:val="0"/>
                <w:sz w:val="20"/>
              </w:rPr>
              <w:t>Телефон: [номер]</w:t>
            </w:r>
          </w:p>
          <w:p>
            <w:pPr>
              <w:spacing w:after="60" w:before="0" w:line="240" w:lineRule="auto"/>
              <w:keepNext/>
            </w:pPr>
            <w:r>
              <w:rPr>
                <w:rFonts w:ascii="Arial" w:hAnsi="Arial"/>
                <w:b w:val="0"/>
                <w:sz w:val="20"/>
              </w:rPr>
              <w:t>Электронная почта: [адрес]</w:t>
            </w:r>
          </w:p>
          <w:p>
            <w:pPr>
              <w:spacing w:after="60" w:before="0" w:line="240" w:lineRule="auto"/>
              <w:keepNext/>
            </w:pPr>
            <w:r>
              <w:rPr>
                <w:rFonts w:ascii="Arial" w:hAnsi="Arial"/>
                <w:b w:val="0"/>
                <w:sz w:val="20"/>
              </w:rPr>
              <w:t>Банковский счёт: [номер]</w:t>
            </w:r>
          </w:p>
          <w:p>
            <w:pPr>
              <w:spacing w:after="60" w:before="0" w:line="240" w:lineRule="auto"/>
              <w:keepNext/>
            </w:pPr>
            <w:r>
              <w:rPr>
                <w:rFonts w:ascii="Arial" w:hAnsi="Arial"/>
                <w:b w:val="0"/>
                <w:sz w:val="20"/>
              </w:rPr>
              <w:t>Банк: [наименование]</w:t>
            </w:r>
          </w:p>
          <w:p>
            <w:pPr>
              <w:spacing w:after="60" w:before="0" w:line="240" w:lineRule="auto"/>
              <w:keepNext/>
            </w:pPr>
            <w:r>
              <w:rPr>
                <w:rFonts w:ascii="Arial" w:hAnsi="Arial"/>
                <w:b w:val="0"/>
                <w:sz w:val="20"/>
              </w:rPr>
              <w:t>БИК: [номер]</w:t>
            </w:r>
          </w:p>
          <w:p>
            <w:pPr>
              <w:spacing w:after="60" w:before="0" w:line="240" w:lineRule="auto"/>
              <w:keepNext/>
            </w:pPr>
            <w:r>
              <w:rPr>
                <w:rFonts w:ascii="Arial" w:hAnsi="Arial"/>
                <w:b w:val="0"/>
                <w:sz w:val="20"/>
              </w:rPr>
              <w:t>Иные банковские реквизиты: [данные]</w:t>
            </w:r>
          </w:p>
        </w:tc>
        <w:tc>
          <w:tcPr>
            <w:tcW w:type="dxa" w:w="4968"/>
          </w:tcPr>
          <w:p>
            <w:pPr>
              <w:spacing w:after="60" w:before="0" w:line="240" w:lineRule="auto"/>
              <w:keepNext/>
            </w:pPr>
            <w:r>
              <w:rPr>
                <w:rFonts w:ascii="Arial" w:hAnsi="Arial"/>
                <w:b w:val="0"/>
                <w:sz w:val="20"/>
              </w:rPr>
              <w:t>ФИО: [полностью]</w:t>
            </w:r>
          </w:p>
          <w:p>
            <w:pPr>
              <w:spacing w:after="60" w:before="0" w:line="240" w:lineRule="auto"/>
              <w:keepNext/>
            </w:pPr>
            <w:r>
              <w:rPr>
                <w:rFonts w:ascii="Arial" w:hAnsi="Arial"/>
                <w:b w:val="0"/>
                <w:sz w:val="20"/>
              </w:rPr>
              <w:t>Статус: [гражданин / ИП / плательщик НПД, если применимо]</w:t>
            </w:r>
          </w:p>
          <w:p>
            <w:pPr>
              <w:spacing w:after="60" w:before="0" w:line="240" w:lineRule="auto"/>
              <w:keepNext/>
            </w:pPr>
            <w:r>
              <w:rPr>
                <w:rFonts w:ascii="Arial" w:hAnsi="Arial"/>
                <w:b w:val="0"/>
                <w:sz w:val="20"/>
              </w:rPr>
              <w:t>Паспорт: [серия, номер]</w:t>
            </w:r>
          </w:p>
          <w:p>
            <w:pPr>
              <w:spacing w:after="60" w:before="0" w:line="240" w:lineRule="auto"/>
              <w:keepNext/>
            </w:pPr>
            <w:r>
              <w:rPr>
                <w:rFonts w:ascii="Arial" w:hAnsi="Arial"/>
                <w:b w:val="0"/>
                <w:sz w:val="20"/>
              </w:rPr>
              <w:t>Выдан: [орган и дата выдачи]</w:t>
            </w:r>
          </w:p>
          <w:p>
            <w:pPr>
              <w:spacing w:after="60" w:before="0" w:line="240" w:lineRule="auto"/>
              <w:keepNext/>
            </w:pPr>
            <w:r>
              <w:rPr>
                <w:rFonts w:ascii="Arial" w:hAnsi="Arial"/>
                <w:b w:val="0"/>
                <w:sz w:val="20"/>
              </w:rPr>
              <w:t>Адрес для юридически значимых сообщений: [адрес]</w:t>
            </w:r>
          </w:p>
          <w:p>
            <w:pPr>
              <w:spacing w:after="60" w:before="0" w:line="240" w:lineRule="auto"/>
              <w:keepNext/>
            </w:pPr>
            <w:r>
              <w:rPr>
                <w:rFonts w:ascii="Arial" w:hAnsi="Arial"/>
                <w:b w:val="0"/>
                <w:sz w:val="20"/>
              </w:rPr>
              <w:t>ИНН: [если применимо]</w:t>
            </w:r>
          </w:p>
          <w:p>
            <w:pPr>
              <w:spacing w:after="60" w:before="0" w:line="240" w:lineRule="auto"/>
              <w:keepNext/>
            </w:pPr>
            <w:r>
              <w:rPr>
                <w:rFonts w:ascii="Arial" w:hAnsi="Arial"/>
                <w:b w:val="0"/>
                <w:sz w:val="20"/>
              </w:rPr>
              <w:t>ОГРНИП: [если применимо]</w:t>
            </w:r>
          </w:p>
          <w:p>
            <w:pPr>
              <w:spacing w:after="60" w:before="0" w:line="240" w:lineRule="auto"/>
              <w:keepNext/>
            </w:pPr>
            <w:r>
              <w:rPr>
                <w:rFonts w:ascii="Arial" w:hAnsi="Arial"/>
                <w:b w:val="0"/>
                <w:sz w:val="20"/>
              </w:rPr>
              <w:t>Телефон: [номер]</w:t>
            </w:r>
          </w:p>
          <w:p>
            <w:pPr>
              <w:spacing w:after="60" w:before="0" w:line="240" w:lineRule="auto"/>
              <w:keepNext/>
            </w:pPr>
            <w:r>
              <w:rPr>
                <w:rFonts w:ascii="Arial" w:hAnsi="Arial"/>
                <w:b w:val="0"/>
                <w:sz w:val="20"/>
              </w:rPr>
              <w:t>Электронная почта: [адрес]</w:t>
            </w:r>
          </w:p>
          <w:p>
            <w:pPr>
              <w:spacing w:after="60" w:before="0" w:line="240" w:lineRule="auto"/>
              <w:keepNext/>
            </w:pPr>
            <w:r>
              <w:rPr>
                <w:rFonts w:ascii="Arial" w:hAnsi="Arial"/>
                <w:b w:val="0"/>
                <w:sz w:val="20"/>
              </w:rPr>
              <w:t>Банковский счёт: [номер]</w:t>
            </w:r>
          </w:p>
          <w:p>
            <w:pPr>
              <w:spacing w:after="60" w:before="0" w:line="240" w:lineRule="auto"/>
              <w:keepNext/>
            </w:pPr>
            <w:r>
              <w:rPr>
                <w:rFonts w:ascii="Arial" w:hAnsi="Arial"/>
                <w:b w:val="0"/>
                <w:sz w:val="20"/>
              </w:rPr>
              <w:t>Банк: [наименование]</w:t>
            </w:r>
          </w:p>
          <w:p>
            <w:pPr>
              <w:spacing w:after="60" w:before="0" w:line="240" w:lineRule="auto"/>
              <w:keepNext/>
            </w:pPr>
            <w:r>
              <w:rPr>
                <w:rFonts w:ascii="Arial" w:hAnsi="Arial"/>
                <w:b w:val="0"/>
                <w:sz w:val="20"/>
              </w:rPr>
              <w:t>БИК: [номер]</w:t>
            </w:r>
          </w:p>
          <w:p>
            <w:pPr>
              <w:spacing w:after="60" w:before="0" w:line="240" w:lineRule="auto"/>
              <w:keepNext/>
            </w:pPr>
            <w:r>
              <w:rPr>
                <w:rFonts w:ascii="Arial" w:hAnsi="Arial"/>
                <w:b w:val="0"/>
                <w:sz w:val="20"/>
              </w:rPr>
              <w:t>Иные банковские реквизиты: [данные]</w:t>
            </w:r>
          </w:p>
        </w:tc>
      </w:tr>
      <w:tr>
        <w:trPr>
          <w:cantSplit/>
          <w:cantSplit/>
        </w:trPr>
        <w:tc>
          <w:tcPr>
            <w:tcW w:type="dxa" w:w="4968"/>
          </w:tcPr>
          <w:p>
            <w:pPr>
              <w:spacing w:after="60" w:before="0" w:line="240" w:lineRule="auto"/>
              <w:keepNext/>
            </w:pPr>
            <w:r>
              <w:rPr>
                <w:rFonts w:ascii="Arial" w:hAnsi="Arial"/>
                <w:b/>
                <w:sz w:val="21"/>
              </w:rPr>
              <w:t>Займодавец</w:t>
            </w:r>
          </w:p>
          <w:p>
            <w:pPr>
              <w:spacing w:after="60" w:before="0" w:line="240" w:lineRule="auto"/>
              <w:keepNext/>
            </w:pPr>
            <w:r>
              <w:rPr>
                <w:rFonts w:ascii="Arial" w:hAnsi="Arial"/>
                <w:b w:val="0"/>
                <w:sz w:val="21"/>
              </w:rPr>
            </w:r>
          </w:p>
          <w:p>
            <w:pPr>
              <w:spacing w:after="60" w:before="0" w:line="240" w:lineRule="auto"/>
              <w:keepNext/>
            </w:pPr>
            <w:r>
              <w:rPr>
                <w:rFonts w:ascii="Arial" w:hAnsi="Arial"/>
                <w:b w:val="0"/>
                <w:sz w:val="21"/>
              </w:rPr>
              <w:t>____________ / [И.О. Фамилия] /</w:t>
            </w:r>
          </w:p>
          <w:p>
            <w:pPr>
              <w:spacing w:after="60" w:before="0" w:line="240" w:lineRule="auto"/>
              <w:keepNext/>
            </w:pPr>
            <w:r>
              <w:rPr>
                <w:rFonts w:ascii="Arial" w:hAnsi="Arial"/>
                <w:b w:val="0"/>
                <w:sz w:val="21"/>
              </w:rPr>
              <w:t>Подпись                 Инициалы и фамилия</w:t>
            </w:r>
          </w:p>
          <w:p>
            <w:pPr>
              <w:spacing w:after="60" w:before="0" w:line="240" w:lineRule="auto"/>
              <w:keepNext/>
            </w:pPr>
            <w:r>
              <w:rPr>
                <w:rFonts w:ascii="Arial" w:hAnsi="Arial"/>
                <w:b w:val="0"/>
                <w:sz w:val="21"/>
              </w:rPr>
              <w:t>Дата: [дата]</w:t>
            </w:r>
          </w:p>
          <w:p>
            <w:pPr>
              <w:spacing w:after="60" w:before="0" w:line="240" w:lineRule="auto"/>
              <w:keepNext/>
            </w:pPr>
            <w:r>
              <w:rPr>
                <w:rFonts w:ascii="Arial" w:hAnsi="Arial"/>
                <w:b w:val="0"/>
                <w:sz w:val="21"/>
              </w:rPr>
              <w:t>М.П. (при наличии)</w:t>
            </w:r>
          </w:p>
        </w:tc>
        <w:tc>
          <w:tcPr>
            <w:tcW w:type="dxa" w:w="4968"/>
          </w:tcPr>
          <w:p>
            <w:pPr>
              <w:spacing w:after="60" w:before="0" w:line="240" w:lineRule="auto"/>
              <w:keepNext/>
            </w:pPr>
            <w:r>
              <w:rPr>
                <w:rFonts w:ascii="Arial" w:hAnsi="Arial"/>
                <w:b/>
                <w:sz w:val="21"/>
              </w:rPr>
              <w:t>Заёмщик</w:t>
            </w:r>
          </w:p>
          <w:p>
            <w:pPr>
              <w:spacing w:after="60" w:before="0" w:line="240" w:lineRule="auto"/>
              <w:keepNext/>
            </w:pPr>
            <w:r>
              <w:rPr>
                <w:rFonts w:ascii="Arial" w:hAnsi="Arial"/>
                <w:b w:val="0"/>
                <w:sz w:val="21"/>
              </w:rPr>
            </w:r>
          </w:p>
          <w:p>
            <w:pPr>
              <w:spacing w:after="60" w:before="0" w:line="240" w:lineRule="auto"/>
              <w:keepNext/>
            </w:pPr>
            <w:r>
              <w:rPr>
                <w:rFonts w:ascii="Arial" w:hAnsi="Arial"/>
                <w:b w:val="0"/>
                <w:sz w:val="21"/>
              </w:rPr>
              <w:t>____________ / [И.О. Фамилия] /</w:t>
            </w:r>
          </w:p>
          <w:p>
            <w:pPr>
              <w:spacing w:after="60" w:before="0" w:line="240" w:lineRule="auto"/>
              <w:keepNext/>
            </w:pPr>
            <w:r>
              <w:rPr>
                <w:rFonts w:ascii="Arial" w:hAnsi="Arial"/>
                <w:b w:val="0"/>
                <w:sz w:val="21"/>
              </w:rPr>
              <w:t>Подпись                 Инициалы и фамилия</w:t>
            </w:r>
          </w:p>
          <w:p>
            <w:pPr>
              <w:spacing w:after="60" w:before="0" w:line="240" w:lineRule="auto"/>
              <w:keepNext/>
            </w:pPr>
            <w:r>
              <w:rPr>
                <w:rFonts w:ascii="Arial" w:hAnsi="Arial"/>
                <w:b w:val="0"/>
                <w:sz w:val="21"/>
              </w:rPr>
              <w:t>Дата: [дата]</w:t>
            </w:r>
          </w:p>
          <w:p>
            <w:pPr>
              <w:spacing w:after="60" w:before="0" w:line="240" w:lineRule="auto"/>
            </w:pPr>
            <w:r>
              <w:rPr>
                <w:rFonts w:ascii="Arial" w:hAnsi="Arial"/>
                <w:b w:val="0"/>
                <w:sz w:val="21"/>
              </w:rPr>
              <w:t>М.П. (при наличии)</w:t>
            </w:r>
          </w:p>
        </w:tc>
      </w:tr>
    </w:tbl>
    <w:p>
      <w:r>
        <w:rPr>
          <w:b w:val="0"/>
        </w:rPr>
        <w:t>При электронном подписании сведения о подписи формируются по фактическому событию подписания и сохраняются с документом; строка для бумажной подписи не заполняется фиктивной подписью.</w:t>
      </w:r>
    </w:p>
    <w:p>
      <w:r>
        <w:rPr>
          <w:b w:val="0"/>
        </w:rPr>
        <w:t>При электронном подписании сохраняются сведения о подписанте, виде подписи, времени с часовым поясом и связанной версии документа, а для усиленной подписи — соответствующий файл подписи и подтверждение проверки.</w:t>
      </w:r>
    </w:p>
    <w:p>
      <w:r>
        <w:br w:type="page"/>
      </w:r>
    </w:p>
    <w:p>
      <w:pPr>
        <w:pStyle w:val="Heading1"/>
      </w:pPr>
      <w:r>
        <w:t>Приложение 1 Подтверждение получения займа</w:t>
      </w:r>
    </w:p>
    <w:p>
      <w:r>
        <w:rPr>
          <w:b w:val="0"/>
        </w:rPr>
        <w:t>Заполняется и подписывается Заёмщиком после получения денег.</w:t>
      </w:r>
    </w:p>
    <w:p>
      <w:r>
        <w:rPr>
          <w:b w:val="0"/>
        </w:rPr>
        <w:t>Я, [ФИО и сведения документа], подтверждаю, что [дата, время] фактически получил от [ФИО Займодавца] [сумма цифрами] ([прописью]) рублей по договору займа № [номер] от [дата]. Способ [наличными / зачислением на счёт]; подтверждающий документ [номер и дата либо описание].</w:t>
      </w:r>
    </w:p>
    <w:p>
      <w:r>
        <w:rPr>
          <w:b w:val="0"/>
        </w:rPr>
        <w:t>Полученная сумма относится к [всей сумме займа / части займа]. Ранее фактически получено [сумма или «не было»]. Всего получено по указанному договору [сумма] рублей. Обязанность возврата и проценты определяются договором. Это подтверждение не выдаётся заранее как обещание получения.</w:t>
      </w:r>
    </w:p>
    <w:p>
      <w:r>
        <w:rPr>
          <w:b w:val="0"/>
        </w:rPr>
        <w:t>Заёмщик __________________ / [ФИО] / Дата [дата]. При электронном оформлении — действительная подпись и пакет подтверждений.</w:t>
      </w:r>
    </w:p>
    <w:p>
      <w:pPr>
        <w:pStyle w:val="Heading1"/>
      </w:pPr>
      <w:r>
        <w:t>Приложение 2 Подтверждение возврата денег</w:t>
      </w:r>
    </w:p>
    <w:p>
      <w:r>
        <w:rPr>
          <w:b w:val="0"/>
        </w:rPr>
        <w:t>Заполняется Займодавцем после фактического получения возврата.</w:t>
      </w:r>
    </w:p>
    <w:p>
      <w:r>
        <w:rPr>
          <w:b w:val="0"/>
        </w:rPr>
        <w:t>Я, [ФИО Займодавца], получил от [ФИО Заёмщика] [дата] сумму [цифрами и прописью] рублей по договору № [номер] от [дата]. Способ [перевод / наличные]; документ [данные].</w:t>
      </w:r>
    </w:p>
    <w:p>
      <w:r>
        <w:rPr>
          <w:b w:val="0"/>
        </w:rPr>
        <w:t>Из суммы: основной долг [сумма] рублей; проценты за пользование [сумма или «не применяются»]; иные законные начисления [сумма и основание либо «нет»]. Остаток основного долга [сумма] рублей; остаток процентов за пользование [сумма или «нет»].</w:t>
      </w:r>
    </w:p>
    <w:p>
      <w:r>
        <w:rPr>
          <w:b w:val="0"/>
        </w:rPr>
        <w:t>При полном исполнении: обязательства по возврату основного долга и согласованных процентов за пользование исполнены полностью [оставить только если соответствует фактам]. Сведения об иных спорных требованиях [описание или «нет»].</w:t>
      </w:r>
    </w:p>
    <w:p>
      <w:r>
        <w:rPr>
          <w:b w:val="0"/>
        </w:rPr>
        <w:t>Займодавец __________________ / [ФИО] / Дата [дата].</w:t>
      </w:r>
    </w:p>
    <w:sectPr w:rsidR="00FC693F" w:rsidRPr="0006063C" w:rsidSect="00034616">
      <w:headerReference w:type="default" r:id="rId9"/>
      <w:footerReference w:type="default" r:id="rId10"/>
      <w:pgSz w:w="12240" w:h="15840"/>
      <w:pgMar w:top="936" w:right="1152" w:bottom="936" w:left="1152" w:header="346" w:footer="3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6"/>
      </w:rPr>
      <w:t xml:space="preserve">ДОГОВОРИМСЯ  •  </w:t>
    </w:r>
    <w:fldSimple w:instr="PAGE">
      <w:r>
        <w:t>1</w:t>
      </w:r>
    </w:fldSimpl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pPr>
    <w:r>
      <w:drawing>
        <wp:inline xmlns:a="http://schemas.openxmlformats.org/drawingml/2006/main" xmlns:pic="http://schemas.openxmlformats.org/drawingml/2006/picture">
          <wp:extent cx="1920240" cy="674464"/>
          <wp:docPr id="1" name="Picture 1"/>
          <wp:cNvGraphicFramePr>
            <a:graphicFrameLocks noChangeAspect="1"/>
          </wp:cNvGraphicFramePr>
          <a:graphic>
            <a:graphicData uri="http://schemas.openxmlformats.org/drawingml/2006/picture">
              <pic:pic>
                <pic:nvPicPr>
                  <pic:cNvPr id="0" name="logo.png"/>
                  <pic:cNvPicPr/>
                </pic:nvPicPr>
                <pic:blipFill>
                  <a:blip r:embed="rId1"/>
                  <a:stretch>
                    <a:fillRect/>
                  </a:stretch>
                </pic:blipFill>
                <pic:spPr>
                  <a:xfrm>
                    <a:off x="0" y="0"/>
                    <a:ext cx="1920240" cy="674464"/>
                  </a:xfrm>
                  <a:prstGeom prst="rect"/>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after="120" w:line="264" w:lineRule="auto"/>
    </w:pPr>
    <w:rPr>
      <w:rFonts w:ascii="Arial" w:hAnsi="Arial" w:eastAsia="Arial"/>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rPr>
      <w:rFonts w:ascii="Arial" w:hAnsi="Arial" w:eastAsia="Arial"/>
      <w:color w:val="000000"/>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Arial" w:hAnsi="Arial" w:eastAsia="Arial"/>
      <w:color w:val="000000"/>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60" w:after="140"/>
      <w:outlineLvl w:val="0"/>
    </w:pPr>
    <w:rPr>
      <w:rFonts w:asciiTheme="majorHAnsi" w:eastAsiaTheme="majorEastAsia" w:hAnsiTheme="majorHAnsi" w:cstheme="majorBidi" w:ascii="Arial" w:hAnsi="Arial" w:eastAsia="Arial"/>
      <w:b/>
      <w:bCs/>
      <w:color w:val="000000"/>
      <w:sz w:val="30"/>
      <w:szCs w:val="28"/>
    </w:rPr>
  </w:style>
  <w:style w:type="paragraph" w:styleId="Heading2">
    <w:name w:val="heading 2"/>
    <w:basedOn w:val="Normal"/>
    <w:next w:val="Normal"/>
    <w:link w:val="Heading2Char"/>
    <w:uiPriority w:val="9"/>
    <w:unhideWhenUsed/>
    <w:qFormat/>
    <w:rsid w:val="00FC693F"/>
    <w:pPr>
      <w:keepNext/>
      <w:keepLines/>
      <w:spacing w:before="260" w:after="140"/>
      <w:outlineLvl w:val="1"/>
    </w:pPr>
    <w:rPr>
      <w:rFonts w:asciiTheme="majorHAnsi" w:eastAsiaTheme="majorEastAsia" w:hAnsiTheme="majorHAnsi" w:cstheme="majorBidi" w:ascii="Arial" w:hAnsi="Arial" w:eastAsia="Arial"/>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eastAsia="Arial"/>
      <w:b/>
      <w:bCs/>
      <w:color w:val="00000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140" w:line="240" w:lineRule="auto" w:before="0"/>
      <w:contextualSpacing/>
    </w:pPr>
    <w:rPr>
      <w:rFonts w:asciiTheme="majorHAnsi" w:eastAsiaTheme="majorEastAsia" w:hAnsiTheme="majorHAnsi" w:cstheme="majorBidi" w:ascii="Arial" w:hAnsi="Arial" w:eastAsia="Arial"/>
      <w:b/>
      <w:color w:val="000000"/>
      <w:spacing w:val="5"/>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before="0" w:after="140"/>
    </w:pPr>
    <w:rPr>
      <w:rFonts w:asciiTheme="majorHAnsi" w:eastAsiaTheme="majorEastAsia" w:hAnsiTheme="majorHAnsi" w:cstheme="majorBidi" w:ascii="Arial" w:hAnsi="Arial" w:eastAsia="Arial"/>
      <w:b w:val="0"/>
      <w:i/>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Arial" w:hAnsi="Arial" w:eastAsia="Arial"/>
      <w:color w:val="000000"/>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rPr>
      <w:rFonts w:ascii="Arial" w:hAnsi="Arial" w:eastAsia="Arial"/>
      <w:color w:val="000000"/>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денежного займа</dc:title>
  <dc:subject>Редактируемый шаблон договора</dc:subject>
  <dc:creator>ДОГОВОРИМСЯ</dc:creator>
  <cp:keywords/>
  <dc:description>generated by python-docx</dc:description>
  <cp:lastModifiedBy/>
  <cp:revision>1</cp:revision>
  <dcterms:created xsi:type="dcterms:W3CDTF">2013-12-23T23:15:00Z</dcterms:created>
  <dcterms:modified xsi:type="dcterms:W3CDTF">2013-12-23T23:15:00Z</dcterms:modified>
  <cp:category/>
</cp:coreProperties>
</file>