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купли-продажи движимой вещи</w:t>
      </w:r>
    </w:p>
    <w:p>
      <w:pPr>
        <w:pStyle w:val="Subtitle"/>
      </w:pPr>
      <w:r>
        <w:t>Редактируемый шаблон со спецификацией и актом</w:t>
      </w:r>
    </w:p>
    <w:p>
      <w:r>
        <w:rPr>
          <w:b w:val="0"/>
        </w:rPr>
      </w:r>
      <w:r>
        <w:rPr>
          <w:b/>
        </w:rPr>
        <w:t>Как заполнить шаблон</w:t>
      </w:r>
      <w:r>
        <w:rPr>
          <w:b w:val="0"/>
        </w:rPr>
        <w:t xml:space="preserve"> Для обычной продажи движимой вещи между совершеннолетними гражданами, включая подходящие сделки ИП. Замените скобки, заполните описание и выберите способ подписания; удалите этот абзац. Для недвижимости, автомобилей, долей, ценных бумаг, специальных товаров и профессиональной поставки нужен отдельный текст.</w:t>
      </w:r>
    </w:p>
    <w:p>
      <w:r>
        <w:rPr>
          <w:b w:val="0"/>
        </w:rPr>
        <w:t>Договор № [номер]. Место [город]. Дата [число месяц год].</w:t>
      </w:r>
    </w:p>
    <w:p>
      <w:r>
        <w:rPr>
          <w:b w:val="0"/>
        </w:rPr>
        <w:t>[ФИО], далее «Продавец», и [ФИО], далее «Покупатель», совместно «Стороны», заключили договор. Реквизиты и подписи — в разделе 9.</w:t>
      </w:r>
    </w:p>
    <w:p>
      <w:pPr>
        <w:pStyle w:val="Heading1"/>
      </w:pPr>
      <w:r>
        <w:t>1 Предмет и характеристики вещи</w:t>
      </w:r>
    </w:p>
    <w:p>
      <w:r>
        <w:rPr>
          <w:b w:val="0"/>
        </w:rPr>
        <w:t>1.1. Продавец передаёт в собственность Покупателю вещь [наименование, модель, серийный номер, количество и индивидуальные признаки], а Покупатель принимает её и уплачивает цену. Комплект и характеристики указаны в приложении 1.</w:t>
      </w:r>
    </w:p>
    <w:p>
      <w:r>
        <w:rPr>
          <w:b w:val="0"/>
        </w:rPr>
        <w:t>1.2. Состояние [новое / бывшее в употреблении]. Известные недостатки [подробный перечень или «нет»]. Срок использования и иные существенные сведения [данные]. Фотографии [перечень и дата] включаются в описание при согласовании обеими сторонами.</w:t>
      </w:r>
    </w:p>
    <w:p>
      <w:r>
        <w:rPr>
          <w:b w:val="0"/>
        </w:rPr>
        <w:t>1.3. Продавец подтверждает право распоряжаться вещью и раскрывает известные права третьих лиц, залог и ограничения [описание или «нет»]. Недостоверная информация оценивается по применимым правилам закона.</w:t>
      </w:r>
    </w:p>
    <w:p>
      <w:pPr>
        <w:pStyle w:val="Heading1"/>
      </w:pPr>
      <w:r>
        <w:t>2 Цена и оплата</w:t>
      </w:r>
    </w:p>
    <w:p>
      <w:r>
        <w:rPr>
          <w:b w:val="0"/>
        </w:rPr>
        <w:t>2.1. Цена составляет [сумма цифрами] ([сумма прописью]) рублей. НДС [ставка и сумма / основание непредъявления]. В цену входят [комплект, упаковка и согласованные расходы]. Отдельные согласованные расходы [состав и сумма или «нет»].</w:t>
      </w:r>
    </w:p>
    <w:p>
      <w:r>
        <w:rPr>
          <w:b w:val="0"/>
        </w:rPr>
        <w:t>2.2. Порядок [полная оплата до передачи / оплата при передаче / аванс и остаток с точными сроками]. Аванс [сумма и дата либо «нет»]; остаток [сумма и срок]. Продажа в кредит или рассрочку со специальными условиями этим базовым текстом не урегулирована и требует адаптации.</w:t>
      </w:r>
    </w:p>
    <w:p>
      <w:r>
        <w:rPr>
          <w:b w:val="0"/>
        </w:rPr>
        <w:t>2.3. Способ оплаты [перевод по реквизитам Продавца / наличные с подтверждением]. Назначение банковского перевода содержит номер договора. Продавец подтверждает получение наличных; при применимости выдаёт кассовый чек или иной обязательный документ.</w:t>
      </w:r>
    </w:p>
    <w:p>
      <w:r>
        <w:rPr>
          <w:b w:val="0"/>
        </w:rPr>
        <w:t>2.4. Подписание договора не подтверждает оплату само по себе. В акте указываются только фактически полученные суммы со ссылкой на подтверждающие документы.</w:t>
      </w:r>
    </w:p>
    <w:p>
      <w:pPr>
        <w:pStyle w:val="Heading1"/>
      </w:pPr>
      <w:r>
        <w:t>3 Передача вещи</w:t>
      </w:r>
    </w:p>
    <w:p>
      <w:r>
        <w:rPr>
          <w:b w:val="0"/>
        </w:rPr>
        <w:t>3.1. Срок [дата и время или определимый срок]. Место [адрес]. Способ передачи и доставка [самовывоз / иной конкретный способ]. Расходы на согласованную доставку несёт [сторона] в размере [условия].</w:t>
      </w:r>
    </w:p>
    <w:p>
      <w:r>
        <w:rPr>
          <w:b w:val="0"/>
        </w:rPr>
        <w:t>3.2. Передаются принадлежности и документы [перечень]. Стороны осматривают вещь, проверяют доступные функции и фиксируют комплектность и замечания в акте. Непроверенные функции указываются отдельно.</w:t>
      </w:r>
    </w:p>
    <w:p>
      <w:r>
        <w:rPr>
          <w:b w:val="0"/>
        </w:rPr>
        <w:t>3.3. Право собственности переходит в момент фактической передачи вещи, если иное допустимое условие не согласовано отдельно. Риск случайной гибели или повреждения определяется моментом исполнения обязанности по передаче по применимым правилам закона. При доставке специальных условий перевозки требуется отдельное согласование.</w:t>
      </w:r>
    </w:p>
    <w:p>
      <w:pPr>
        <w:pStyle w:val="Heading1"/>
      </w:pPr>
      <w:r>
        <w:t>4 Качество и недостатки</w:t>
      </w:r>
    </w:p>
    <w:p>
      <w:r>
        <w:rPr>
          <w:b w:val="0"/>
        </w:rPr>
        <w:t>4.1. Вещь должна соответствовать согласованному описанию и требованиям закона. Известные недостатки должны быть раскрыты до заключения и отражены в документе. Фраза «бывшее в употреблении» не заменяет перечень известных дефектов.</w:t>
      </w:r>
    </w:p>
    <w:p>
      <w:r>
        <w:rPr>
          <w:b w:val="0"/>
        </w:rPr>
        <w:t>4.2. При обнаружении несогласованных недостатков Покупатель вправе предъявить законные требования с учётом характера недостатка и правил конкретных отношений. Сроки и способы защиты определяются законом; этот шаблон не устанавливает общего запрета возврата.</w:t>
      </w:r>
    </w:p>
    <w:p>
      <w:r>
        <w:rPr>
          <w:b w:val="0"/>
        </w:rPr>
        <w:t>4.3. Подписание акта без замечаний относится к фактически проведённой проверке и не означает отказа от прав по скрытым недостаткам, недостоверной информации и обязательных потребительских гарантий.</w:t>
      </w:r>
    </w:p>
    <w:p>
      <w:r>
        <w:rPr>
          <w:b w:val="0"/>
        </w:rPr>
        <w:t>4.4. Если Продавец действует как предприниматель, а Покупатель приобретает вещь для личных нужд, обязательные нормы защиты потребителя сохраняются. Для дистанционной розничной продажи и специальных категорий товаров порядок адаптируется отдельно.</w:t>
      </w:r>
    </w:p>
    <w:p>
      <w:pPr>
        <w:pStyle w:val="Heading1"/>
      </w:pPr>
      <w:r>
        <w:t>5 Нарушения и прекращение</w:t>
      </w:r>
    </w:p>
    <w:p>
      <w:r>
        <w:rPr>
          <w:b w:val="0"/>
        </w:rPr>
        <w:t>5.1. За нарушение сроков оплаты или передачи, качества, комплектности и иных обязанностей применяются предусмотренные законом последствия. Дополнительная договорная неустойка не установлена.</w:t>
      </w:r>
    </w:p>
    <w:p>
      <w:r>
        <w:rPr>
          <w:b w:val="0"/>
        </w:rPr>
        <w:t>5.2. При законном отказе или расторжении стороны определяют порядок возврата вещи и денег с учётом обязательных сроков и оснований. Подписанное соглашение не может отменить обязательные права потребителя.</w:t>
      </w:r>
    </w:p>
    <w:p>
      <w:r>
        <w:rPr>
          <w:b w:val="0"/>
        </w:rPr>
        <w:t>5.3. Непреодолимая сила учитывается только при наличии законных оснований и доказанной связи с нарушением; сторона своевременно уведомляет другую сторону и принимает разумные меры к уменьшению последствий.</w:t>
      </w:r>
    </w:p>
    <w:p>
      <w:pPr>
        <w:pStyle w:val="Heading1"/>
      </w:pPr>
      <w:r>
        <w:t>6 Проверка сведений и документов</w:t>
      </w:r>
    </w:p>
    <w:p>
      <w:r>
        <w:rPr>
          <w:b w:val="0"/>
        </w:rPr>
        <w:t>6.1. До оплаты Покупатель вправе ознакомиться с вещью и согласованными подтверждениями прав Продавца. Стороны проверяют соответствие реквизитов получателя платежа данным договора и подтверждают изменения известным согласованным каналом.</w:t>
      </w:r>
    </w:p>
    <w:p>
      <w:r>
        <w:rPr>
          <w:b w:val="0"/>
        </w:rPr>
        <w:t>6.2. Материалы проверки и переписка сохраняются. Копирование изображения подписи другого лица не допускается вместо его собственного подтверждения согласия.</w:t>
      </w:r>
    </w:p>
    <w:p>
      <w:r>
        <w:rPr>
          <w:b w:val="0"/>
        </w:rPr>
        <w:t>6.3. Особые условия сделки [описание или «нет»]. Они не должны противоречить предмету, цене и приложениям; при существенном усложнении сделки стороны используют соответствующий специальный договор.</w:t>
      </w:r>
    </w:p>
    <w:p>
      <w:pPr>
        <w:pStyle w:val="Heading1"/>
      </w:pPr>
      <w:r>
        <w:t>7 Подписание и обмен документами</w:t>
      </w:r>
    </w:p>
    <w:p>
      <w:r>
        <w:rPr>
          <w:b w:val="0"/>
        </w:rPr>
        <w:t>7.1. Выбранный способ заключения и подписания: [бумажные экземпляры / электронный документ с УКЭП / ПЭП или УНЭП по отдельному согласованному соглашению]. Стороны удаляют невыбранные варианты до подписания. Подписание не заменяет нотариальное удостоверение и государственную регистрацию, если они требуются законом.</w:t>
      </w:r>
    </w:p>
    <w:p>
      <w:r>
        <w:rPr>
          <w:b w:val="0"/>
        </w:rPr>
        <w:t>7.2. При бумажном подписании составляются два экземпляра одинакового содержания, по одному каждой стороне. При УКЭП каждая сторона подписывает один и тот же неизменный электронный документ; сохраняются документ, подписи и результаты проверки. Визуальный штамп в PDF не заменяет файл электронной подписи.</w:t>
      </w:r>
    </w:p>
    <w:p>
      <w:r>
        <w:rPr>
          <w:b w:val="0"/>
        </w:rPr>
        <w:t>7.3. ПЭП или УНЭП используются только при наличии предусмотренного законом основания или соглашения сторон об электронном взаимодействии. Соглашение должно определять подписанта, конфиденциальность ключа ПЭП и, для УНЭП, порядок проверки. Применённая редакция правил [название, дата, идентификатор] сохраняется вместе с документом. Если такого основания нет, стороны используют бумагу либо допустимую УКЭП.</w:t>
      </w:r>
    </w:p>
    <w:p>
      <w:r>
        <w:rPr>
          <w:b w:val="0"/>
        </w:rPr>
        <w:t>7.4. Сервис электронного подписания, если выбран: [название и адрес]. Контакты сторон для согласованного обмена указаны в реквизитах. После первой подписи файл не изменяется; изменение условий оформляется новой подписанной редакцией либо дополнительным соглашением. Каждая сторона получает полный комплект для скачивания и хранения.</w:t>
      </w:r>
    </w:p>
    <w:p>
      <w:r>
        <w:rPr>
          <w:b w:val="0"/>
        </w:rPr>
        <w:t>7.5. Стороны сохраняют доступ к своим средствам подписания в тайне и при утрате контроля немедленно сообщают другой стороне по согласованным контактам. Код входа в аккаунт сам по себе не означает подпись под договором. Записи сервиса оцениваются вместе с иными доказательствами.</w:t>
      </w:r>
    </w:p>
    <w:p>
      <w:pPr>
        <w:pStyle w:val="Heading1"/>
      </w:pPr>
      <w:r>
        <w:t>8 Заключительные условия</w:t>
      </w:r>
    </w:p>
    <w:p>
      <w:r>
        <w:rPr>
          <w:b w:val="0"/>
        </w:rPr>
        <w:t>8.1. Применяется право Российской Федерации. Изменения оформляются письменным соглашением, кроме случаев, когда закон допускает иной порядок. Сообщения направляются по согласованным адресам с сохранением подтверждений доставки; последствия юридически значимых сообщений определяются статьёй 165.1 ГК РФ.</w:t>
      </w:r>
    </w:p>
    <w:p>
      <w:r>
        <w:rPr>
          <w:b w:val="0"/>
        </w:rPr>
        <w:t>8.2. При споре сторона направляет другой стороне описание требований и подтверждения. Стороны стремятся ответить в течение 10 календарных дней. Это не отменяет обязательный порядок и сроки по закону и не ограничивает право потребителя обратиться в суд. Подсудность определяется процессуальным законодательством.</w:t>
      </w:r>
    </w:p>
    <w:p>
      <w:r>
        <w:rPr>
          <w:b w:val="0"/>
        </w:rPr>
        <w:t>8.3. Договор не ограничивает обязательные гарантии закона, включая права потребителя, если они применимы к отношениям сторон. Логотип «ДОГОВОРИМСЯ» обозначает оформление шаблона; сервис не является стороной договора, поручителем или гарантом исполнения.</w:t>
      </w:r>
    </w:p>
    <w:p>
      <w:r>
        <w:rPr>
          <w:b w:val="0"/>
        </w:rPr>
        <w:t>8.4. Приложения к договору: [перечень согласованных приложений]. Формы подтверждений фактического исполнения заполняются и подписываются после соответствующих действий, а не заранее.</w:t>
      </w:r>
    </w:p>
    <w:p>
      <w:pPr>
        <w:pStyle w:val="Heading1"/>
      </w:pPr>
      <w:r>
        <w:t>9 Сведения о сторонах и подписи</w:t>
      </w:r>
    </w:p>
    <w:tbl>
      <w:tblPr>
        <w:tblW w:type="auto" w:w="0"/>
        <w:tblLayout w:type="fixed"/>
        <w:tblLook w:firstColumn="1" w:firstRow="1" w:lastColumn="0" w:lastRow="0" w:noHBand="0" w:noVBand="1" w:val="04A0"/>
        <w:tblBorders>
          <w:top w:val="single" w:sz="6" w:color="909090"/>
          <w:left w:val="single" w:sz="6" w:color="909090"/>
          <w:bottom w:val="single" w:sz="6" w:color="909090"/>
          <w:right w:val="single" w:sz="6" w:color="909090"/>
          <w:insideH w:val="single" w:sz="6" w:color="909090"/>
          <w:insideV w:val="single" w:sz="6" w:color="909090"/>
        </w:tblBorders>
        <w:tblCellMar>
          <w:top w:w="120" w:type="dxa"/>
          <w:left w:w="120" w:type="dxa"/>
          <w:bottom w:w="120" w:type="dxa"/>
          <w:right w:w="120" w:type="dxa"/>
        </w:tblCellMar>
      </w:tblPr>
      <w:tblGrid>
        <w:gridCol w:w="4968"/>
        <w:gridCol w:w="4968"/>
      </w:tblGrid>
      <w:tr>
        <w:trPr>
          <w:cantSplit/>
          <w:cantSplit/>
        </w:trPr>
        <w:tc>
          <w:tcPr>
            <w:tcW w:type="dxa" w:w="4968"/>
          </w:tcPr>
          <w:p>
            <w:pPr>
              <w:spacing w:after="60" w:before="0" w:line="240" w:lineRule="auto"/>
              <w:keepNext/>
            </w:pPr>
            <w:r>
              <w:rPr>
                <w:rFonts w:ascii="Arial" w:hAnsi="Arial"/>
                <w:b/>
                <w:sz w:val="21"/>
              </w:rPr>
              <w:t>Продавец</w:t>
            </w:r>
          </w:p>
        </w:tc>
        <w:tc>
          <w:tcPr>
            <w:tcW w:type="dxa" w:w="4968"/>
          </w:tcPr>
          <w:p>
            <w:pPr>
              <w:spacing w:after="60" w:before="0" w:line="240" w:lineRule="auto"/>
              <w:keepNext/>
            </w:pPr>
            <w:r>
              <w:rPr>
                <w:rFonts w:ascii="Arial" w:hAnsi="Arial"/>
                <w:b/>
                <w:sz w:val="21"/>
              </w:rPr>
              <w:t>Покупатель</w:t>
            </w:r>
          </w:p>
        </w:tc>
      </w:tr>
      <w:tr>
        <w:trPr>
          <w:cantSplit/>
          <w:cantSplit/>
        </w:trPr>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r>
      <w:tr>
        <w:trPr>
          <w:cantSplit/>
          <w:cantSplit/>
        </w:trPr>
        <w:tc>
          <w:tcPr>
            <w:tcW w:type="dxa" w:w="4968"/>
          </w:tcPr>
          <w:p>
            <w:pPr>
              <w:spacing w:after="60" w:before="0" w:line="240" w:lineRule="auto"/>
              <w:keepNext/>
            </w:pPr>
            <w:r>
              <w:rPr>
                <w:rFonts w:ascii="Arial" w:hAnsi="Arial"/>
                <w:b/>
                <w:sz w:val="21"/>
              </w:rPr>
              <w:t>Продавец</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keepNext/>
            </w:pPr>
            <w:r>
              <w:rPr>
                <w:rFonts w:ascii="Arial" w:hAnsi="Arial"/>
                <w:b w:val="0"/>
                <w:sz w:val="21"/>
              </w:rPr>
              <w:t>М.П. (при наличии)</w:t>
            </w:r>
          </w:p>
        </w:tc>
        <w:tc>
          <w:tcPr>
            <w:tcW w:type="dxa" w:w="4968"/>
          </w:tcPr>
          <w:p>
            <w:pPr>
              <w:spacing w:after="60" w:before="0" w:line="240" w:lineRule="auto"/>
              <w:keepNext/>
            </w:pPr>
            <w:r>
              <w:rPr>
                <w:rFonts w:ascii="Arial" w:hAnsi="Arial"/>
                <w:b/>
                <w:sz w:val="21"/>
              </w:rPr>
              <w:t>Покупатель</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pPr>
            <w:r>
              <w:rPr>
                <w:rFonts w:ascii="Arial" w:hAnsi="Arial"/>
                <w:b w:val="0"/>
                <w:sz w:val="21"/>
              </w:rPr>
              <w:t>М.П. (при наличии)</w:t>
            </w:r>
          </w:p>
        </w:tc>
      </w:tr>
    </w:tbl>
    <w:p>
      <w:r>
        <w:rPr>
          <w:b w:val="0"/>
        </w:rPr>
        <w:t>При электронном подписании сведения о подписи формируются по фактическому событию подписания и сохраняются с документом; строка для бумажной подписи не заполняется фиктивной подписью.</w:t>
      </w:r>
    </w:p>
    <w:p>
      <w:r>
        <w:rPr>
          <w:b w:val="0"/>
        </w:rPr>
        <w:t>При электронном подписании сохраняются сведения о подписанте, виде подписи, времени с часовым поясом и связанной версии документа, а для усиленной подписи — соответствующий файл подписи и подтверждение проверки.</w:t>
      </w:r>
    </w:p>
    <w:p>
      <w:r>
        <w:br w:type="page"/>
      </w:r>
    </w:p>
    <w:p>
      <w:pPr>
        <w:pStyle w:val="Heading1"/>
      </w:pPr>
      <w:r>
        <w:t>Приложение 1 Спецификация вещи</w:t>
      </w:r>
    </w:p>
    <w:p>
      <w:r>
        <w:rPr>
          <w:b w:val="0"/>
        </w:rPr>
        <w:t>К договору № [номер] от [дата]. Продавец [ФИО], Покупатель [ФИО].</w:t>
      </w:r>
    </w:p>
    <w:tbl>
      <w:tblPr>
        <w:tblW w:type="auto" w:w="0"/>
        <w:jc w:val="center"/>
        <w:tblLayout w:type="fixed"/>
        <w:tblLook w:firstColumn="1" w:firstRow="1" w:lastColumn="0" w:lastRow="0" w:noHBand="0" w:noVBand="1" w:val="04A0"/>
      </w:tblPr>
      <w:tblGrid>
        <w:gridCol w:w="4320"/>
        <w:gridCol w:w="5616"/>
      </w:tblGrid>
      <w:tr>
        <w:trPr>
          <w:tblHeade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Параметр</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Согласованное описание</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Вещь модель и номер</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[данные для идентификации]</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Количество и комплект</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[перечень]</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Состояние</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[новая или использованная описание]</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Известные недостатки</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[каждый известный недостаток либо «нет»]</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Документы и принадлежности</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[перечень]</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Цена</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рублей</w:t>
            </w:r>
          </w:p>
        </w:tc>
      </w:tr>
      <w:tr>
        <w:trPr>
          <w:cantSplit/>
        </w:trPr>
        <w:tc>
          <w:tcPr>
            <w:tcW w:type="dxa" w:w="4320"/>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Фотографии</w:t>
            </w:r>
          </w:p>
        </w:tc>
        <w:tc>
          <w:tcPr>
            <w:tcW w:type="dxa" w:w="5616"/>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[файлы и дата либо «не приложены»]</w:t>
            </w:r>
          </w:p>
        </w:tc>
      </w:tr>
    </w:tbl>
    <w:p>
      <w:pPr>
        <w:spacing w:after="0"/>
      </w:pPr>
    </w:p>
    <w:p>
      <w:r>
        <w:rPr>
          <w:b w:val="0"/>
        </w:rPr>
        <w:t>Продавец __________________ / [ФИО] / Покупатель __________________ / [ФИО] /</w:t>
      </w:r>
    </w:p>
    <w:p>
      <w:r>
        <w:rPr>
          <w:b w:val="0"/>
        </w:rPr>
        <w:t>При электронном оформлении спецификация подписывается допустимым способом как часть неизменного договора либо отдельно с однозначной ссылкой на него.</w:t>
      </w:r>
    </w:p>
    <w:p>
      <w:r>
        <w:br w:type="page"/>
      </w:r>
    </w:p>
    <w:p>
      <w:pPr>
        <w:pStyle w:val="Heading1"/>
      </w:pPr>
      <w:r>
        <w:t>Приложение 2 Акт передачи вещи</w:t>
      </w:r>
    </w:p>
    <w:p>
      <w:r>
        <w:rPr>
          <w:b w:val="0"/>
        </w:rPr>
        <w:t>К договору № [номер] от [дата]. Фактическая передача [дата, время, место]. Продавец [ФИО], Покупатель [ФИО].</w:t>
      </w:r>
    </w:p>
    <w:p>
      <w:r>
        <w:rPr>
          <w:b w:val="0"/>
        </w:rPr>
        <w:t>Передана вещь [наименование, модель, номер]. Комплект [перечень]. Документы [перечень]. Проверены функции [описание]; не проверены [описание или «нет»]. Выявленные при проверке замечания [перечень или «нет»].</w:t>
      </w:r>
    </w:p>
    <w:p>
      <w:r>
        <w:rPr>
          <w:b w:val="0"/>
        </w:rPr>
        <w:t>Фактически оплачено [сумма] рублей [дата и способ]; подтверждение [документ или запись о фактическом получении наличных Продавцом]. Остаток цены [сумма] рублей со сроком [дата или «нет»]. Если оплата этим актом не подтверждается, укажите это прямо.</w:t>
      </w:r>
    </w:p>
    <w:p>
      <w:r>
        <w:rPr>
          <w:b w:val="0"/>
        </w:rPr>
        <w:t>Продавец передал, Покупатель получил перечисленную вещь и комплект. Отсутствие выявленных при осмотре замечаний не означает отказа от законных требований по скрытым недостаткам и обязательных гарантий.</w:t>
      </w:r>
    </w:p>
    <w:p>
      <w:r>
        <w:rPr>
          <w:b w:val="0"/>
        </w:rPr>
        <w:t>Продавец __________________ / [ФИО] / Покупатель __________________ / [ФИО] /</w:t>
      </w:r>
    </w:p>
    <w:p>
      <w:r>
        <w:rPr>
          <w:b w:val="0"/>
        </w:rPr>
        <w:t>Подписи оформляются способом, согласованным в разделе 7 договора.</w:t>
      </w:r>
    </w:p>
    <w:sectPr w:rsidR="00FC693F" w:rsidRPr="0006063C" w:rsidSect="00034616">
      <w:headerReference w:type="default" r:id="rId9"/>
      <w:footerReference w:type="default" r:id="rId10"/>
      <w:pgSz w:w="12240" w:h="15840"/>
      <w:pgMar w:top="936" w:right="1152" w:bottom="936" w:left="1152"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ДОГОВОРИМСЯ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920240" cy="674464"/>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920240" cy="6744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eastAsia="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движимой вещи</dc:title>
  <dc:subject>Редактируемый шаблон договора</dc:subject>
  <dc:creator>ДОГОВОРИМСЯ</dc:creator>
  <cp:keywords/>
  <dc:description>generated by python-docx</dc:description>
  <cp:lastModifiedBy/>
  <cp:revision>1</cp:revision>
  <dcterms:created xsi:type="dcterms:W3CDTF">2013-12-23T23:15:00Z</dcterms:created>
  <dcterms:modified xsi:type="dcterms:W3CDTF">2013-12-23T23:15:00Z</dcterms:modified>
  <cp:category/>
</cp:coreProperties>
</file>